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3F4F49" w:rsidP="00702A2A">
      <w:pPr>
        <w:rPr>
          <w:sz w:val="28"/>
          <w:szCs w:val="28"/>
        </w:rPr>
      </w:pPr>
      <w:bookmarkStart w:id="0" w:name="bmStart"/>
      <w:bookmarkEnd w:id="0"/>
      <w:r>
        <w:rPr>
          <w:sz w:val="28"/>
          <w:szCs w:val="28"/>
        </w:rPr>
        <w:t>Blended cursus DSM-IV naar DSM-5 voor kinderen en jeugdigen</w:t>
      </w:r>
    </w:p>
    <w:p w:rsidR="003F4F49" w:rsidRDefault="003F4F49" w:rsidP="00702A2A">
      <w:pPr>
        <w:rPr>
          <w:sz w:val="20"/>
          <w:szCs w:val="20"/>
        </w:rPr>
      </w:pPr>
      <w:r>
        <w:rPr>
          <w:sz w:val="20"/>
          <w:szCs w:val="20"/>
        </w:rPr>
        <w:t>Postacademische cursus over veranderingen in de DSM inzake stoornissen bij kinderen en jeugdigen</w:t>
      </w:r>
    </w:p>
    <w:p w:rsidR="003F4F49" w:rsidRDefault="003F4F49" w:rsidP="00702A2A">
      <w:pPr>
        <w:rPr>
          <w:sz w:val="20"/>
          <w:szCs w:val="20"/>
        </w:rPr>
      </w:pPr>
      <w:r>
        <w:rPr>
          <w:sz w:val="20"/>
          <w:szCs w:val="20"/>
        </w:rPr>
        <w:t>GITP PAO</w:t>
      </w:r>
    </w:p>
    <w:p w:rsidR="003F4F49" w:rsidRDefault="003F4F49" w:rsidP="00702A2A">
      <w:pPr>
        <w:rPr>
          <w:sz w:val="20"/>
          <w:szCs w:val="20"/>
        </w:rPr>
      </w:pPr>
    </w:p>
    <w:p w:rsidR="003F4F49" w:rsidRDefault="003F4F49" w:rsidP="00702A2A">
      <w:pPr>
        <w:rPr>
          <w:b/>
          <w:sz w:val="20"/>
          <w:szCs w:val="20"/>
        </w:rPr>
      </w:pPr>
      <w:r>
        <w:rPr>
          <w:b/>
          <w:sz w:val="20"/>
          <w:szCs w:val="20"/>
        </w:rPr>
        <w:t>Inleiding</w:t>
      </w:r>
    </w:p>
    <w:p w:rsidR="003F4F49" w:rsidRDefault="003F4F49" w:rsidP="00702A2A">
      <w:pPr>
        <w:rPr>
          <w:sz w:val="20"/>
          <w:szCs w:val="20"/>
        </w:rPr>
      </w:pPr>
      <w:r w:rsidRPr="003F4F49">
        <w:rPr>
          <w:sz w:val="20"/>
          <w:szCs w:val="20"/>
        </w:rPr>
        <w:t xml:space="preserve">De DSM-5, Diagnostic and Statistical Manual of Mental Disorders (5e editieDe DSM-5, Diagnostic and Statistical Manual of Mental Disorders (5e editie), is wereldwijd de meest gebruikte methode voor classificatie van psychische stoornissen bij zowel volwassenen als kinderen en jeugdigen. De DSM kan een  belangrijke rol spelen bij zorgtoewijzing en toelaatbaarheidsbepaling in het (speciaal) onderwijs. In de cursus worden de belangrijkste veranderingen van DSM-IV naar DSM-5 besproken bij het klasseren van onder meer verstandelijke beperking, autismespectrum stoornis, angst- en stemmingsstoornissen, ADHD en gedragsstoornissen en overige stoornissen van de kinderleeftijd en adolescentie( DSM-IV). Je oefent aan de hand van de door de docent ingebrachte én eigen, casuïstiek met het klasseren van deze stoornissen. </w:t>
      </w:r>
      <w:r w:rsidRPr="003F4F49">
        <w:rPr>
          <w:sz w:val="20"/>
          <w:szCs w:val="20"/>
        </w:rPr>
        <w:tab/>
      </w:r>
    </w:p>
    <w:p w:rsidR="003F4F49" w:rsidRPr="003F4F49" w:rsidRDefault="003F4F49" w:rsidP="00702A2A">
      <w:pPr>
        <w:rPr>
          <w:sz w:val="20"/>
          <w:szCs w:val="20"/>
        </w:rPr>
      </w:pPr>
    </w:p>
    <w:p w:rsidR="003F4F49" w:rsidRDefault="003F4F49" w:rsidP="00702A2A">
      <w:pPr>
        <w:rPr>
          <w:b/>
          <w:sz w:val="20"/>
          <w:szCs w:val="20"/>
        </w:rPr>
      </w:pPr>
      <w:r>
        <w:rPr>
          <w:b/>
          <w:sz w:val="20"/>
          <w:szCs w:val="20"/>
        </w:rPr>
        <w:t>Doelgroep</w:t>
      </w:r>
    </w:p>
    <w:p w:rsidR="003F4F49" w:rsidRDefault="003F4F49" w:rsidP="00702A2A">
      <w:pPr>
        <w:rPr>
          <w:sz w:val="20"/>
          <w:szCs w:val="20"/>
        </w:rPr>
      </w:pPr>
      <w:r w:rsidRPr="003F4F49">
        <w:rPr>
          <w:sz w:val="20"/>
          <w:szCs w:val="20"/>
        </w:rPr>
        <w:t>Deze cursus is bestemd voor psychologen en pedagogen die willen leren hoe zij de DSM-5 als classificatie-instrument kunnen toepassen als aanvulling op eigen psychodiagnostiek of bij de beoordeling en gebruik van onderzoeksrapportage van derden. De nadruk ligt bij deze cursus op het gebruik van de DSM-5 bij de classificatie van kinderen en jeugdigen.</w:t>
      </w:r>
    </w:p>
    <w:p w:rsidR="003F4F49" w:rsidRPr="003F4F49" w:rsidRDefault="003F4F49" w:rsidP="00702A2A">
      <w:pPr>
        <w:rPr>
          <w:sz w:val="20"/>
          <w:szCs w:val="20"/>
        </w:rPr>
      </w:pPr>
    </w:p>
    <w:p w:rsidR="003F4F49" w:rsidRDefault="003F4F49" w:rsidP="00702A2A">
      <w:pPr>
        <w:rPr>
          <w:b/>
          <w:sz w:val="20"/>
          <w:szCs w:val="20"/>
        </w:rPr>
      </w:pPr>
      <w:r>
        <w:rPr>
          <w:b/>
          <w:sz w:val="20"/>
          <w:szCs w:val="20"/>
        </w:rPr>
        <w:t>Doelstellingen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3F4F49" w:rsidTr="003F4F49">
        <w:tc>
          <w:tcPr>
            <w:tcW w:w="8222" w:type="dxa"/>
          </w:tcPr>
          <w:p w:rsidR="003F4F49" w:rsidRDefault="003F4F49" w:rsidP="003F4F49">
            <w:pPr>
              <w:pStyle w:val="Lijstalinea"/>
              <w:numPr>
                <w:ilvl w:val="0"/>
                <w:numId w:val="24"/>
              </w:numPr>
            </w:pPr>
            <w:r>
              <w:t>Kennis van d</w:t>
            </w:r>
            <w:r w:rsidRPr="00FC6A8E">
              <w:t>e overwegingen die ten grondslag liggen aan de veranderingen in de DSM-5</w:t>
            </w:r>
          </w:p>
        </w:tc>
      </w:tr>
      <w:tr w:rsidR="003F4F49" w:rsidTr="003F4F49">
        <w:tc>
          <w:tcPr>
            <w:tcW w:w="8222" w:type="dxa"/>
          </w:tcPr>
          <w:p w:rsidR="003F4F49" w:rsidRDefault="003F4F49" w:rsidP="003F4F49">
            <w:pPr>
              <w:pStyle w:val="Lijstalinea"/>
              <w:numPr>
                <w:ilvl w:val="0"/>
                <w:numId w:val="24"/>
              </w:numPr>
            </w:pPr>
            <w:r w:rsidRPr="00FC6A8E">
              <w:t>de opbouw en de gebruiksregels van de DSM-5</w:t>
            </w:r>
          </w:p>
        </w:tc>
      </w:tr>
      <w:tr w:rsidR="003F4F49" w:rsidTr="003F4F49">
        <w:tc>
          <w:tcPr>
            <w:tcW w:w="8222" w:type="dxa"/>
          </w:tcPr>
          <w:p w:rsidR="003F4F49" w:rsidRDefault="003F4F49" w:rsidP="003F4F49">
            <w:pPr>
              <w:pStyle w:val="Lijstalinea"/>
              <w:numPr>
                <w:ilvl w:val="0"/>
                <w:numId w:val="24"/>
              </w:numPr>
            </w:pPr>
            <w:r w:rsidRPr="00FC6A8E">
              <w:t xml:space="preserve">de belangrijkste wijzigingen in de </w:t>
            </w:r>
            <w:r>
              <w:t>“</w:t>
            </w:r>
            <w:r w:rsidRPr="00FC6A8E">
              <w:t>DSM</w:t>
            </w:r>
            <w:r>
              <w:t xml:space="preserve"> van IV naar 5”</w:t>
            </w:r>
            <w:r w:rsidRPr="00FC6A8E">
              <w:t xml:space="preserve"> voor wat betreft de stoornissen die het meest voorkomen bij kinderen en jeugdigen</w:t>
            </w:r>
          </w:p>
        </w:tc>
      </w:tr>
      <w:tr w:rsidR="003F4F49" w:rsidTr="003F4F49">
        <w:tc>
          <w:tcPr>
            <w:tcW w:w="8222" w:type="dxa"/>
          </w:tcPr>
          <w:p w:rsidR="003F4F49" w:rsidRDefault="003F4F49" w:rsidP="003F4F49">
            <w:pPr>
              <w:pStyle w:val="Lijstalinea"/>
              <w:numPr>
                <w:ilvl w:val="0"/>
                <w:numId w:val="24"/>
              </w:numPr>
            </w:pPr>
            <w:r w:rsidRPr="00FC6A8E">
              <w:t>de (on)mogelijkheden van het omzetten van klasseringen van DSM IV naar DSM-5</w:t>
            </w:r>
          </w:p>
        </w:tc>
      </w:tr>
      <w:tr w:rsidR="003F4F49" w:rsidTr="003F4F49">
        <w:tc>
          <w:tcPr>
            <w:tcW w:w="8222" w:type="dxa"/>
          </w:tcPr>
          <w:p w:rsidR="003F4F49" w:rsidRDefault="003F4F49" w:rsidP="003F4F49">
            <w:pPr>
              <w:pStyle w:val="Lijstalinea"/>
              <w:numPr>
                <w:ilvl w:val="0"/>
                <w:numId w:val="24"/>
              </w:numPr>
            </w:pPr>
            <w:r w:rsidRPr="00FC6A8E">
              <w:t>de veranderingen en mogelijkheden in het classificeren van stoornissen bij kinderen en jeugdigen met een verstandelijke beperking</w:t>
            </w:r>
          </w:p>
        </w:tc>
      </w:tr>
      <w:tr w:rsidR="003F4F49" w:rsidTr="003F4F49">
        <w:tc>
          <w:tcPr>
            <w:tcW w:w="8222" w:type="dxa"/>
          </w:tcPr>
          <w:p w:rsidR="003F4F49" w:rsidRDefault="003F4F49" w:rsidP="003F4F49">
            <w:pPr>
              <w:pStyle w:val="Lijstalinea"/>
              <w:numPr>
                <w:ilvl w:val="0"/>
                <w:numId w:val="24"/>
              </w:numPr>
            </w:pPr>
            <w:r>
              <w:t>Na afloop van de cursus heb je in zicht  gekregen in:</w:t>
            </w:r>
          </w:p>
          <w:p w:rsidR="003F4F49" w:rsidRDefault="003F4F49" w:rsidP="003F4F49">
            <w:pPr>
              <w:pStyle w:val="Lijstalinea"/>
              <w:numPr>
                <w:ilvl w:val="0"/>
                <w:numId w:val="24"/>
              </w:numPr>
            </w:pPr>
            <w:r w:rsidRPr="00FC6A8E">
              <w:t>de eisen die het klasseren met de DSM-5 stelt aan het diagnostisch proces</w:t>
            </w:r>
          </w:p>
        </w:tc>
      </w:tr>
      <w:tr w:rsidR="003F4F49" w:rsidTr="003F4F49">
        <w:tc>
          <w:tcPr>
            <w:tcW w:w="8222" w:type="dxa"/>
          </w:tcPr>
          <w:p w:rsidR="003F4F49" w:rsidRDefault="003F4F49" w:rsidP="003F4F49">
            <w:pPr>
              <w:pStyle w:val="Lijstalinea"/>
              <w:numPr>
                <w:ilvl w:val="0"/>
                <w:numId w:val="24"/>
              </w:numPr>
            </w:pPr>
            <w:r w:rsidRPr="00DF3FCB">
              <w:t>inzicht verkregen in de opbouw en de gebruiksregels van de DSM-5</w:t>
            </w:r>
          </w:p>
        </w:tc>
      </w:tr>
      <w:tr w:rsidR="003F4F49" w:rsidTr="003F4F49">
        <w:tc>
          <w:tcPr>
            <w:tcW w:w="8222" w:type="dxa"/>
          </w:tcPr>
          <w:p w:rsidR="003F4F49" w:rsidRDefault="003F4F49" w:rsidP="003F4F49">
            <w:pPr>
              <w:pStyle w:val="Lijstalinea"/>
              <w:numPr>
                <w:ilvl w:val="0"/>
                <w:numId w:val="24"/>
              </w:numPr>
            </w:pPr>
            <w:r w:rsidRPr="00DF3FCB">
              <w:t>kennis opgedaan van de DSM-5-criteria van autismespectrum stoornissen, angst- en stemmingsstoorni</w:t>
            </w:r>
            <w:r>
              <w:t xml:space="preserve">ssen, ADHD en gedrags- , trauma en stress gerelateerde stoornissen </w:t>
            </w:r>
          </w:p>
        </w:tc>
      </w:tr>
      <w:tr w:rsidR="003F4F49" w:rsidTr="003F4F49">
        <w:tc>
          <w:tcPr>
            <w:tcW w:w="8222" w:type="dxa"/>
          </w:tcPr>
          <w:p w:rsidR="003F4F49" w:rsidRDefault="003F4F49" w:rsidP="003F4F49">
            <w:pPr>
              <w:pStyle w:val="Lijstalinea"/>
              <w:numPr>
                <w:ilvl w:val="0"/>
                <w:numId w:val="24"/>
              </w:numPr>
            </w:pPr>
            <w:r w:rsidRPr="00DF3FCB">
              <w:t>inzicht verkregen in de bruikbaarheid van de DSM-5 bij zorgtoewijzing en toelaatbaarheidsbepaling in het onderwijs</w:t>
            </w:r>
          </w:p>
        </w:tc>
      </w:tr>
      <w:tr w:rsidR="003F4F49" w:rsidTr="003F4F49">
        <w:tc>
          <w:tcPr>
            <w:tcW w:w="8222" w:type="dxa"/>
          </w:tcPr>
          <w:p w:rsidR="003F4F49" w:rsidRDefault="003F4F49" w:rsidP="003F4F49">
            <w:pPr>
              <w:pStyle w:val="Lijstalinea"/>
              <w:numPr>
                <w:ilvl w:val="0"/>
                <w:numId w:val="24"/>
              </w:numPr>
            </w:pPr>
            <w:r w:rsidRPr="00DF3FCB">
              <w:t>vaardigheden ontwikkeld in het met de DSM-5 klasseren van cluster 4-stoornissen bij kinderen en jeugdi</w:t>
            </w:r>
            <w:r>
              <w:t>gen</w:t>
            </w:r>
          </w:p>
        </w:tc>
      </w:tr>
    </w:tbl>
    <w:p w:rsidR="003F4F49" w:rsidRDefault="003F4F49" w:rsidP="00702A2A">
      <w:pPr>
        <w:rPr>
          <w:b/>
          <w:sz w:val="20"/>
          <w:szCs w:val="20"/>
        </w:rPr>
      </w:pPr>
    </w:p>
    <w:p w:rsidR="003F4F49" w:rsidRDefault="003F4F49" w:rsidP="00702A2A">
      <w:pPr>
        <w:rPr>
          <w:b/>
          <w:sz w:val="20"/>
          <w:szCs w:val="20"/>
        </w:rPr>
      </w:pPr>
      <w:r>
        <w:rPr>
          <w:b/>
          <w:sz w:val="20"/>
          <w:szCs w:val="20"/>
        </w:rPr>
        <w:t>Werkwijze</w:t>
      </w:r>
    </w:p>
    <w:p w:rsidR="003F4F49" w:rsidRDefault="003F4F49" w:rsidP="003F4F49">
      <w:r w:rsidRPr="00064A0D">
        <w:t xml:space="preserve">Er </w:t>
      </w:r>
      <w:r>
        <w:t>wordt gewerkt met blended leren. Hierbij krijgt de cursist vier uur online onderwijs, waarbij presentaties en toetsing wordt gegeven. Ook is er ruimte voor discussie. Dit alles om de theoretische basis goed te hebben.</w:t>
      </w:r>
    </w:p>
    <w:p w:rsidR="003F4F49" w:rsidRDefault="003F4F49" w:rsidP="003F4F49">
      <w:pPr>
        <w:rPr>
          <w:b/>
          <w:sz w:val="20"/>
          <w:szCs w:val="20"/>
        </w:rPr>
      </w:pPr>
      <w:r>
        <w:t>Daarna volgt een klassikale cursusdag van zes uur</w:t>
      </w:r>
      <w:r w:rsidRPr="00064A0D">
        <w:t xml:space="preserve"> waarbij </w:t>
      </w:r>
      <w:r>
        <w:t>vier uur online onderwijs, waarin de theorie wordt verdiept en</w:t>
      </w:r>
      <w:r w:rsidRPr="00064A0D">
        <w:t xml:space="preserve"> </w:t>
      </w:r>
      <w:r>
        <w:t xml:space="preserve">(vooral in kleine groepjes) </w:t>
      </w:r>
      <w:r w:rsidRPr="00064A0D">
        <w:t xml:space="preserve">geoefend wordt met de toepassing van de DSM. </w:t>
      </w:r>
      <w:r>
        <w:tab/>
      </w:r>
      <w:r>
        <w:tab/>
      </w:r>
    </w:p>
    <w:p w:rsidR="003F4F49" w:rsidRDefault="003F4F49" w:rsidP="00702A2A">
      <w:pPr>
        <w:rPr>
          <w:b/>
          <w:sz w:val="20"/>
          <w:szCs w:val="20"/>
        </w:rPr>
      </w:pPr>
      <w:r>
        <w:rPr>
          <w:b/>
          <w:sz w:val="20"/>
          <w:szCs w:val="20"/>
        </w:rPr>
        <w:t>Programma</w:t>
      </w:r>
    </w:p>
    <w:tbl>
      <w:tblPr>
        <w:tblStyle w:val="Tabelraster"/>
        <w:tblW w:w="8754" w:type="dxa"/>
        <w:tblLook w:val="04A0" w:firstRow="1" w:lastRow="0" w:firstColumn="1" w:lastColumn="0" w:noHBand="0" w:noVBand="1"/>
      </w:tblPr>
      <w:tblGrid>
        <w:gridCol w:w="1346"/>
        <w:gridCol w:w="1707"/>
        <w:gridCol w:w="1868"/>
        <w:gridCol w:w="1347"/>
        <w:gridCol w:w="1276"/>
        <w:gridCol w:w="1210"/>
      </w:tblGrid>
      <w:tr w:rsidR="003F4F49" w:rsidRPr="00E56399" w:rsidTr="006E3DF3">
        <w:trPr>
          <w:trHeight w:val="725"/>
        </w:trPr>
        <w:tc>
          <w:tcPr>
            <w:tcW w:w="1135" w:type="dxa"/>
            <w:shd w:val="clear" w:color="auto" w:fill="9ED2D7" w:themeFill="accent1" w:themeFillShade="E6"/>
          </w:tcPr>
          <w:p w:rsidR="003F4F49" w:rsidRPr="00E56399" w:rsidRDefault="003F4F49" w:rsidP="006E3DF3">
            <w:pPr>
              <w:rPr>
                <w:b/>
              </w:rPr>
            </w:pPr>
            <w:r w:rsidRPr="00E56399">
              <w:rPr>
                <w:b/>
              </w:rPr>
              <w:t>Bijeenkomst</w:t>
            </w:r>
          </w:p>
        </w:tc>
        <w:tc>
          <w:tcPr>
            <w:tcW w:w="1774" w:type="dxa"/>
            <w:shd w:val="clear" w:color="auto" w:fill="9ED2D7" w:themeFill="accent1" w:themeFillShade="E6"/>
          </w:tcPr>
          <w:p w:rsidR="003F4F49" w:rsidRPr="00E56399" w:rsidRDefault="003F4F49" w:rsidP="006E3DF3">
            <w:pPr>
              <w:rPr>
                <w:b/>
              </w:rPr>
            </w:pPr>
            <w:r w:rsidRPr="00E56399">
              <w:rPr>
                <w:b/>
              </w:rPr>
              <w:t>Online contacturen</w:t>
            </w:r>
          </w:p>
        </w:tc>
        <w:tc>
          <w:tcPr>
            <w:tcW w:w="1960" w:type="dxa"/>
            <w:shd w:val="clear" w:color="auto" w:fill="9ED2D7" w:themeFill="accent1" w:themeFillShade="E6"/>
          </w:tcPr>
          <w:p w:rsidR="003F4F49" w:rsidRPr="00E56399" w:rsidRDefault="003F4F49" w:rsidP="006E3DF3">
            <w:pPr>
              <w:rPr>
                <w:b/>
              </w:rPr>
            </w:pPr>
            <w:r w:rsidRPr="00E56399">
              <w:rPr>
                <w:b/>
              </w:rPr>
              <w:t>Klassikale contacturen</w:t>
            </w:r>
          </w:p>
        </w:tc>
        <w:tc>
          <w:tcPr>
            <w:tcW w:w="1302" w:type="dxa"/>
            <w:shd w:val="clear" w:color="auto" w:fill="9ED2D7" w:themeFill="accent1" w:themeFillShade="E6"/>
          </w:tcPr>
          <w:p w:rsidR="003F4F49" w:rsidRDefault="003F4F49" w:rsidP="006E3DF3">
            <w:pPr>
              <w:rPr>
                <w:b/>
              </w:rPr>
            </w:pPr>
            <w:r>
              <w:rPr>
                <w:b/>
              </w:rPr>
              <w:t>Te accrediteren uren</w:t>
            </w:r>
          </w:p>
        </w:tc>
        <w:tc>
          <w:tcPr>
            <w:tcW w:w="1302" w:type="dxa"/>
            <w:shd w:val="clear" w:color="auto" w:fill="9ED2D7" w:themeFill="accent1" w:themeFillShade="E6"/>
          </w:tcPr>
          <w:p w:rsidR="003F4F49" w:rsidRPr="00E56399" w:rsidRDefault="003F4F49" w:rsidP="006E3DF3">
            <w:pPr>
              <w:rPr>
                <w:b/>
              </w:rPr>
            </w:pPr>
            <w:r>
              <w:rPr>
                <w:b/>
              </w:rPr>
              <w:t>Zelfstudie uren</w:t>
            </w:r>
          </w:p>
        </w:tc>
        <w:tc>
          <w:tcPr>
            <w:tcW w:w="1281" w:type="dxa"/>
            <w:shd w:val="clear" w:color="auto" w:fill="9ED2D7" w:themeFill="accent1" w:themeFillShade="E6"/>
          </w:tcPr>
          <w:p w:rsidR="003F4F49" w:rsidRDefault="003F4F49" w:rsidP="006E3DF3">
            <w:pPr>
              <w:rPr>
                <w:b/>
              </w:rPr>
            </w:pPr>
            <w:r>
              <w:rPr>
                <w:b/>
              </w:rPr>
              <w:t>Totaal</w:t>
            </w:r>
          </w:p>
          <w:p w:rsidR="003F4F49" w:rsidRPr="00E56399" w:rsidRDefault="003F4F49" w:rsidP="006E3DF3">
            <w:pPr>
              <w:rPr>
                <w:b/>
              </w:rPr>
            </w:pPr>
          </w:p>
        </w:tc>
      </w:tr>
      <w:tr w:rsidR="003F4F49" w:rsidTr="006E3DF3">
        <w:trPr>
          <w:trHeight w:val="268"/>
        </w:trPr>
        <w:tc>
          <w:tcPr>
            <w:tcW w:w="1135" w:type="dxa"/>
          </w:tcPr>
          <w:p w:rsidR="003F4F49" w:rsidRDefault="003F4F49" w:rsidP="006E3DF3">
            <w:r>
              <w:t>1</w:t>
            </w:r>
          </w:p>
        </w:tc>
        <w:tc>
          <w:tcPr>
            <w:tcW w:w="1774" w:type="dxa"/>
          </w:tcPr>
          <w:p w:rsidR="003F4F49" w:rsidRDefault="003F4F49" w:rsidP="006E3DF3">
            <w:r>
              <w:t>4</w:t>
            </w:r>
          </w:p>
        </w:tc>
        <w:tc>
          <w:tcPr>
            <w:tcW w:w="1960" w:type="dxa"/>
          </w:tcPr>
          <w:p w:rsidR="003F4F49" w:rsidRDefault="003F4F49" w:rsidP="006E3DF3">
            <w:r>
              <w:t>6</w:t>
            </w:r>
          </w:p>
        </w:tc>
        <w:tc>
          <w:tcPr>
            <w:tcW w:w="1302" w:type="dxa"/>
          </w:tcPr>
          <w:p w:rsidR="003F4F49" w:rsidRDefault="003F4F49" w:rsidP="006E3DF3">
            <w:r>
              <w:t>10</w:t>
            </w:r>
          </w:p>
        </w:tc>
        <w:tc>
          <w:tcPr>
            <w:tcW w:w="1302" w:type="dxa"/>
          </w:tcPr>
          <w:p w:rsidR="003F4F49" w:rsidRDefault="003F4F49" w:rsidP="006E3DF3">
            <w:r>
              <w:t>6</w:t>
            </w:r>
          </w:p>
        </w:tc>
        <w:tc>
          <w:tcPr>
            <w:tcW w:w="1281" w:type="dxa"/>
          </w:tcPr>
          <w:p w:rsidR="003F4F49" w:rsidRDefault="003F4F49" w:rsidP="006E3DF3">
            <w:r>
              <w:t>16</w:t>
            </w:r>
          </w:p>
        </w:tc>
      </w:tr>
    </w:tbl>
    <w:p w:rsidR="003F4F49" w:rsidRDefault="003F4F49" w:rsidP="00702A2A">
      <w:pPr>
        <w:rPr>
          <w:b/>
          <w:sz w:val="20"/>
          <w:szCs w:val="20"/>
        </w:rPr>
      </w:pPr>
    </w:p>
    <w:p w:rsidR="003F4F49" w:rsidRDefault="003F4F49" w:rsidP="00702A2A">
      <w:pPr>
        <w:rPr>
          <w:b/>
          <w:sz w:val="20"/>
          <w:szCs w:val="20"/>
        </w:rPr>
      </w:pPr>
      <w:r>
        <w:rPr>
          <w:b/>
          <w:sz w:val="20"/>
          <w:szCs w:val="20"/>
        </w:rPr>
        <w:t>Literatuur</w:t>
      </w:r>
    </w:p>
    <w:p w:rsidR="003F4F49" w:rsidRPr="003F4F49" w:rsidRDefault="003F4F49" w:rsidP="00702A2A">
      <w:pPr>
        <w:rPr>
          <w:sz w:val="20"/>
          <w:szCs w:val="20"/>
        </w:rPr>
      </w:pPr>
      <w:r>
        <w:rPr>
          <w:sz w:val="20"/>
          <w:szCs w:val="20"/>
        </w:rPr>
        <w:t>Alle literatuur die de deelnemers moeten lezen, is voor hen terug te vinden in de online leeromgeving.</w:t>
      </w:r>
    </w:p>
    <w:p w:rsidR="003F4F49" w:rsidRDefault="003F4F49" w:rsidP="00702A2A">
      <w:pPr>
        <w:rPr>
          <w:b/>
          <w:sz w:val="20"/>
          <w:szCs w:val="20"/>
        </w:rPr>
      </w:pPr>
    </w:p>
    <w:p w:rsidR="001124C8" w:rsidRDefault="001124C8" w:rsidP="00702A2A">
      <w:pPr>
        <w:rPr>
          <w:b/>
          <w:sz w:val="20"/>
          <w:szCs w:val="20"/>
        </w:rPr>
      </w:pPr>
      <w:r>
        <w:rPr>
          <w:b/>
          <w:sz w:val="20"/>
          <w:szCs w:val="20"/>
        </w:rPr>
        <w:br/>
      </w:r>
    </w:p>
    <w:p w:rsidR="001124C8" w:rsidRDefault="001124C8">
      <w:pPr>
        <w:spacing w:line="240" w:lineRule="auto"/>
        <w:rPr>
          <w:b/>
          <w:sz w:val="20"/>
          <w:szCs w:val="20"/>
        </w:rPr>
      </w:pPr>
      <w:r>
        <w:rPr>
          <w:b/>
          <w:sz w:val="20"/>
          <w:szCs w:val="20"/>
        </w:rPr>
        <w:br w:type="page"/>
      </w:r>
    </w:p>
    <w:p w:rsidR="003F4F49" w:rsidRDefault="003F4F49" w:rsidP="00702A2A">
      <w:pPr>
        <w:rPr>
          <w:b/>
          <w:sz w:val="20"/>
          <w:szCs w:val="20"/>
        </w:rPr>
      </w:pPr>
      <w:r>
        <w:rPr>
          <w:b/>
          <w:sz w:val="20"/>
          <w:szCs w:val="20"/>
        </w:rPr>
        <w:t>Docent</w:t>
      </w:r>
    </w:p>
    <w:p w:rsidR="003F4F49" w:rsidRDefault="001124C8" w:rsidP="003F4F49">
      <w:pPr>
        <w:rPr>
          <w:b/>
          <w:sz w:val="20"/>
          <w:szCs w:val="20"/>
        </w:rPr>
      </w:pPr>
      <w:r w:rsidRPr="001124C8">
        <w:lastRenderedPageBreak/>
        <w:t>Drs. Marijke Jongbloed orthopedagoog en GZ-psycholoog, supervisor NVO. Zij heeft jarenlang ervaring opgedaan in de diagnostiek en indicatiestelling voor speciaal onderwijs en was tot voor kort werkzaam als coördinerend onderzoeker bij de Evaluatie- en Adviescommissie Passend Onderwijs.</w:t>
      </w:r>
      <w:r w:rsidR="003F4F49">
        <w:tab/>
      </w:r>
      <w:r w:rsidR="003F4F49">
        <w:tab/>
      </w:r>
    </w:p>
    <w:p w:rsidR="001124C8" w:rsidRDefault="001124C8" w:rsidP="00702A2A">
      <w:pPr>
        <w:rPr>
          <w:b/>
          <w:sz w:val="20"/>
          <w:szCs w:val="20"/>
        </w:rPr>
      </w:pPr>
    </w:p>
    <w:p w:rsidR="003F4F49" w:rsidRDefault="003F4F49" w:rsidP="00702A2A">
      <w:pPr>
        <w:rPr>
          <w:b/>
          <w:sz w:val="20"/>
          <w:szCs w:val="20"/>
        </w:rPr>
      </w:pPr>
      <w:r>
        <w:rPr>
          <w:b/>
          <w:sz w:val="20"/>
          <w:szCs w:val="20"/>
        </w:rPr>
        <w:t xml:space="preserve">Certificaat, toetsing en accreditatie. </w:t>
      </w:r>
    </w:p>
    <w:p w:rsidR="002C434C" w:rsidRPr="002C434C" w:rsidRDefault="002C434C" w:rsidP="002C434C">
      <w:pPr>
        <w:rPr>
          <w:sz w:val="20"/>
          <w:szCs w:val="20"/>
        </w:rPr>
      </w:pPr>
      <w:r w:rsidRPr="002C434C">
        <w:rPr>
          <w:sz w:val="20"/>
          <w:szCs w:val="20"/>
        </w:rPr>
        <w:t>Je ontvangt een GITP PAO-certificaat op basis van aanwezigheid (minimaal 75%) en actieve deelname. Voor een certificaat met accreditatie is minimaal 90% aanwezigheid en een voldoende voor de toets ve</w:t>
      </w:r>
      <w:bookmarkStart w:id="1" w:name="_GoBack"/>
      <w:bookmarkEnd w:id="1"/>
      <w:r w:rsidRPr="002C434C">
        <w:rPr>
          <w:sz w:val="20"/>
          <w:szCs w:val="20"/>
        </w:rPr>
        <w:t>reist. De aanwezigheidseisen zijn gericht op de klassikale cursusuren. De online cursusuren dienen voor 100% volbracht te zijn voor certificering. Het gaat erom dat alle opdrachten volledig doorlopen zijn. Er wordt dan niet gelet op de correctheid van de antwoorden.</w:t>
      </w:r>
    </w:p>
    <w:p w:rsidR="002C434C" w:rsidRPr="002C434C" w:rsidRDefault="002C434C" w:rsidP="002C434C">
      <w:pPr>
        <w:rPr>
          <w:sz w:val="20"/>
          <w:szCs w:val="20"/>
        </w:rPr>
      </w:pPr>
    </w:p>
    <w:p w:rsidR="002C434C" w:rsidRPr="002C434C" w:rsidRDefault="002C434C" w:rsidP="002C434C">
      <w:pPr>
        <w:rPr>
          <w:sz w:val="20"/>
          <w:szCs w:val="20"/>
        </w:rPr>
      </w:pPr>
      <w:r w:rsidRPr="002C434C">
        <w:rPr>
          <w:sz w:val="20"/>
          <w:szCs w:val="20"/>
        </w:rPr>
        <w:t>Accreditaties:</w:t>
      </w:r>
    </w:p>
    <w:p w:rsidR="002C434C" w:rsidRPr="002C434C" w:rsidRDefault="002C434C" w:rsidP="002C434C">
      <w:pPr>
        <w:rPr>
          <w:sz w:val="20"/>
          <w:szCs w:val="20"/>
        </w:rPr>
      </w:pPr>
      <w:r w:rsidRPr="002C434C">
        <w:rPr>
          <w:sz w:val="20"/>
          <w:szCs w:val="20"/>
        </w:rPr>
        <w:t>&gt;</w:t>
      </w:r>
      <w:r w:rsidRPr="002C434C">
        <w:rPr>
          <w:sz w:val="20"/>
          <w:szCs w:val="20"/>
        </w:rPr>
        <w:tab/>
        <w:t xml:space="preserve">registratie NVO Orthopedagoog-Generalist / NIP Kinder- en Jeugdpsycholoog: aangevraagd </w:t>
      </w:r>
    </w:p>
    <w:p w:rsidR="002C434C" w:rsidRDefault="002C434C" w:rsidP="00702A2A">
      <w:pPr>
        <w:rPr>
          <w:sz w:val="20"/>
          <w:szCs w:val="20"/>
        </w:rPr>
      </w:pPr>
      <w:r w:rsidRPr="002C434C">
        <w:rPr>
          <w:sz w:val="20"/>
          <w:szCs w:val="20"/>
        </w:rPr>
        <w:t>&gt;</w:t>
      </w:r>
      <w:r w:rsidRPr="002C434C">
        <w:rPr>
          <w:sz w:val="20"/>
          <w:szCs w:val="20"/>
        </w:rPr>
        <w:tab/>
        <w:t xml:space="preserve">herregistratie NVO Orthopedagoog-Generalist / NIP Kinder- en Jeugdpsycholoog: aangevraagd </w:t>
      </w:r>
    </w:p>
    <w:p w:rsidR="002C434C" w:rsidRDefault="002C434C" w:rsidP="00702A2A">
      <w:pPr>
        <w:rPr>
          <w:sz w:val="20"/>
          <w:szCs w:val="20"/>
        </w:rPr>
      </w:pPr>
      <w:r>
        <w:rPr>
          <w:sz w:val="20"/>
          <w:szCs w:val="20"/>
        </w:rPr>
        <w:t>&gt;</w:t>
      </w:r>
      <w:r>
        <w:rPr>
          <w:sz w:val="20"/>
          <w:szCs w:val="20"/>
        </w:rPr>
        <w:tab/>
        <w:t>herregistraite NIP Eerstelijnspsycholoog</w:t>
      </w:r>
    </w:p>
    <w:p w:rsidR="002C434C" w:rsidRPr="002C434C" w:rsidRDefault="002C434C" w:rsidP="00702A2A">
      <w:pPr>
        <w:rPr>
          <w:sz w:val="20"/>
          <w:szCs w:val="20"/>
        </w:rPr>
      </w:pPr>
      <w:r>
        <w:rPr>
          <w:sz w:val="20"/>
          <w:szCs w:val="20"/>
        </w:rPr>
        <w:t>&gt;</w:t>
      </w:r>
      <w:r>
        <w:rPr>
          <w:sz w:val="20"/>
          <w:szCs w:val="20"/>
        </w:rPr>
        <w:tab/>
        <w:t>herregistratie klinisch psycholoog FGzP</w:t>
      </w:r>
    </w:p>
    <w:sectPr w:rsidR="002C434C" w:rsidRPr="002C434C"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E3" w:rsidRDefault="00882EE3">
      <w:r>
        <w:separator/>
      </w:r>
    </w:p>
  </w:endnote>
  <w:endnote w:type="continuationSeparator" w:id="0">
    <w:p w:rsidR="00882EE3" w:rsidRDefault="0088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2859D"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93CC0"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132E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F72B8"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F2FF2"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E3" w:rsidRDefault="00882EE3">
      <w:r>
        <w:separator/>
      </w:r>
    </w:p>
  </w:footnote>
  <w:footnote w:type="continuationSeparator" w:id="0">
    <w:p w:rsidR="00882EE3" w:rsidRDefault="0088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6B970C9"/>
    <w:multiLevelType w:val="hybridMultilevel"/>
    <w:tmpl w:val="5AA61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7"/>
  </w:num>
  <w:num w:numId="9">
    <w:abstractNumId w:val="16"/>
  </w:num>
  <w:num w:numId="10">
    <w:abstractNumId w:val="10"/>
  </w:num>
  <w:num w:numId="11">
    <w:abstractNumId w:val="19"/>
  </w:num>
  <w:num w:numId="12">
    <w:abstractNumId w:val="21"/>
  </w:num>
  <w:num w:numId="13">
    <w:abstractNumId w:val="0"/>
  </w:num>
  <w:num w:numId="14">
    <w:abstractNumId w:val="14"/>
  </w:num>
  <w:num w:numId="15">
    <w:abstractNumId w:val="18"/>
  </w:num>
  <w:num w:numId="16">
    <w:abstractNumId w:val="9"/>
  </w:num>
  <w:num w:numId="17">
    <w:abstractNumId w:val="13"/>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3F4F49"/>
    <w:rsid w:val="00041650"/>
    <w:rsid w:val="00057EE9"/>
    <w:rsid w:val="0006037B"/>
    <w:rsid w:val="00060A42"/>
    <w:rsid w:val="000D43CE"/>
    <w:rsid w:val="000E397C"/>
    <w:rsid w:val="000F30A4"/>
    <w:rsid w:val="000F3526"/>
    <w:rsid w:val="001124C8"/>
    <w:rsid w:val="00116BE4"/>
    <w:rsid w:val="00137FE8"/>
    <w:rsid w:val="00161A0B"/>
    <w:rsid w:val="001876AA"/>
    <w:rsid w:val="00187C17"/>
    <w:rsid w:val="0019604D"/>
    <w:rsid w:val="0020243C"/>
    <w:rsid w:val="0023110A"/>
    <w:rsid w:val="002557A1"/>
    <w:rsid w:val="002710C3"/>
    <w:rsid w:val="00276C2C"/>
    <w:rsid w:val="002826BC"/>
    <w:rsid w:val="002A2E44"/>
    <w:rsid w:val="002C434C"/>
    <w:rsid w:val="002D44A2"/>
    <w:rsid w:val="00304877"/>
    <w:rsid w:val="00350D46"/>
    <w:rsid w:val="003834A8"/>
    <w:rsid w:val="003A3F0E"/>
    <w:rsid w:val="003B555A"/>
    <w:rsid w:val="003C508B"/>
    <w:rsid w:val="003D1719"/>
    <w:rsid w:val="003F4F4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12D91"/>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2EE3"/>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06221C03"/>
  <w15:chartTrackingRefBased/>
  <w15:docId w15:val="{B5ACB1CF-9D35-467D-B97B-18A9DA8D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3F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Signer xmlns="http://www.documentaal.nl/Signer"/>
</file>

<file path=customXml/item3.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Signer3 xmlns="http://www.documentaal.nl/Signer3"/>
</file>

<file path=customXml/item6.xml><?xml version="1.0" encoding="utf-8"?>
<Address xmlns="http://www.documentaal.nl/Address"/>
</file>

<file path=customXml/item7.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8.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B9C5829-096F-4E9F-8AAB-01D0C7EAF1A7}">
  <ds:schemaRefs>
    <ds:schemaRef ds:uri="http://www.documentaal.nl/Signer"/>
  </ds:schemaRefs>
</ds:datastoreItem>
</file>

<file path=customXml/itemProps3.xml><?xml version="1.0" encoding="utf-8"?>
<ds:datastoreItem xmlns:ds="http://schemas.openxmlformats.org/officeDocument/2006/customXml" ds:itemID="{36BC2B86-22F0-445D-82AB-B6D2CDA5E1F3}">
  <ds:schemaRefs>
    <ds:schemaRef ds:uri="http://www.documentaal.nl/Exact"/>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6A4F7282-D268-402F-94A0-982917121759}">
  <ds:schemaRefs>
    <ds:schemaRef ds:uri="http://www.documentaal.nl/Signer3"/>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FC00FD77-6FBC-43B9-BE24-A2B1B62F101A}">
  <ds:schemaRefs>
    <ds:schemaRef ds:uri="http://www.documentaal.nl/Document"/>
  </ds:schemaRefs>
</ds:datastoreItem>
</file>

<file path=customXml/itemProps8.xml><?xml version="1.0" encoding="utf-8"?>
<ds:datastoreItem xmlns:ds="http://schemas.openxmlformats.org/officeDocument/2006/customXml" ds:itemID="{673AFCEB-3071-4BE8-B4DD-AE99288FEC32}">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3604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Pheninckx-Heijs, Carien</cp:lastModifiedBy>
  <cp:revision>2</cp:revision>
  <dcterms:created xsi:type="dcterms:W3CDTF">2016-07-18T07:50:00Z</dcterms:created>
  <dcterms:modified xsi:type="dcterms:W3CDTF">2016-07-18T07:50:00Z</dcterms:modified>
</cp:coreProperties>
</file>